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9190" w14:textId="616C9767" w:rsidR="009C33DF" w:rsidRDefault="009C33DF" w:rsidP="009C33DF">
      <w:pPr>
        <w:spacing w:line="240" w:lineRule="auto"/>
        <w:jc w:val="center"/>
        <w:rPr>
          <w:b/>
          <w:bCs/>
          <w:sz w:val="28"/>
          <w:szCs w:val="28"/>
        </w:rPr>
      </w:pPr>
      <w:r w:rsidRPr="009C33DF">
        <w:rPr>
          <w:b/>
          <w:bCs/>
          <w:sz w:val="28"/>
          <w:szCs w:val="28"/>
        </w:rPr>
        <w:t>Recommended Policy &amp; Procedure</w:t>
      </w:r>
      <w:r>
        <w:rPr>
          <w:b/>
          <w:bCs/>
          <w:sz w:val="28"/>
          <w:szCs w:val="28"/>
        </w:rPr>
        <w:t>s</w:t>
      </w:r>
      <w:r w:rsidRPr="009C33DF">
        <w:rPr>
          <w:b/>
          <w:bCs/>
          <w:sz w:val="28"/>
          <w:szCs w:val="28"/>
        </w:rPr>
        <w:t xml:space="preserve"> for Law Enforcement</w:t>
      </w:r>
    </w:p>
    <w:p w14:paraId="050D11B2" w14:textId="77777777" w:rsidR="009C33DF" w:rsidRPr="009C33DF" w:rsidRDefault="009C33DF" w:rsidP="009C33DF">
      <w:pPr>
        <w:spacing w:line="240" w:lineRule="auto"/>
        <w:jc w:val="center"/>
        <w:rPr>
          <w:b/>
          <w:bCs/>
          <w:sz w:val="28"/>
          <w:szCs w:val="28"/>
        </w:rPr>
      </w:pPr>
    </w:p>
    <w:p w14:paraId="09BBE01A" w14:textId="7BE809D3" w:rsidR="009C33DF" w:rsidRPr="009C33DF" w:rsidRDefault="009C33DF" w:rsidP="009C33DF">
      <w:pPr>
        <w:spacing w:line="276" w:lineRule="auto"/>
        <w:jc w:val="both"/>
      </w:pPr>
      <w:r w:rsidRPr="009C33DF">
        <w:t>P</w:t>
      </w:r>
      <w:r>
        <w:t>olicy and p</w:t>
      </w:r>
      <w:r w:rsidRPr="009C33DF">
        <w:t xml:space="preserve">rocedures </w:t>
      </w:r>
      <w:r>
        <w:t>related to</w:t>
      </w:r>
      <w:r w:rsidRPr="009C33DF">
        <w:t xml:space="preserve"> the following should be included in </w:t>
      </w:r>
      <w:r>
        <w:t xml:space="preserve">the police department’s Standard Operating Policy and Procedure </w:t>
      </w:r>
      <w:r w:rsidRPr="009C33DF">
        <w:t>manual in addition to other</w:t>
      </w:r>
      <w:r>
        <w:t>s</w:t>
      </w:r>
      <w:r w:rsidRPr="009C33DF">
        <w:t xml:space="preserve"> that may be needed to provide your department with a good comprehensive manual:</w:t>
      </w:r>
    </w:p>
    <w:p w14:paraId="07910CC8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Accident Review Board</w:t>
      </w:r>
      <w:r w:rsidRPr="009C33DF">
        <w:tab/>
      </w:r>
      <w:r w:rsidRPr="009C33DF">
        <w:tab/>
      </w:r>
      <w:r w:rsidRPr="009C33DF">
        <w:tab/>
        <w:t>Less-Than-Lethal Impact</w:t>
      </w:r>
    </w:p>
    <w:p w14:paraId="62A40522" w14:textId="3AD956AA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Active Shooter Response</w:t>
      </w:r>
      <w:r w:rsidRPr="009C33DF">
        <w:tab/>
      </w:r>
      <w:r w:rsidRPr="009C33DF">
        <w:tab/>
      </w:r>
      <w:r w:rsidRPr="009C33DF">
        <w:tab/>
      </w:r>
      <w:r>
        <w:tab/>
      </w:r>
      <w:r w:rsidRPr="009C33DF">
        <w:t>Projectile Shotguns (if used)</w:t>
      </w:r>
    </w:p>
    <w:p w14:paraId="4965D732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Arrest Procedures - Adult</w:t>
      </w:r>
      <w:r w:rsidRPr="009C33DF">
        <w:tab/>
      </w:r>
      <w:r w:rsidRPr="009C33DF">
        <w:tab/>
      </w:r>
      <w:r w:rsidRPr="009C33DF">
        <w:tab/>
        <w:t>Naloxone (NARCAN) Usage</w:t>
      </w:r>
    </w:p>
    <w:p w14:paraId="62FD7DF1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Arrest Procedures - Juvenile</w:t>
      </w:r>
      <w:r w:rsidRPr="009C33DF">
        <w:tab/>
      </w:r>
      <w:r w:rsidRPr="009C33DF">
        <w:tab/>
      </w:r>
      <w:r w:rsidRPr="009C33DF">
        <w:tab/>
        <w:t>Off-Duty Employment</w:t>
      </w:r>
    </w:p>
    <w:p w14:paraId="31D56C28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Backup Handguns (if used)</w:t>
      </w:r>
      <w:r w:rsidRPr="009C33DF">
        <w:tab/>
      </w:r>
      <w:r w:rsidRPr="009C33DF">
        <w:tab/>
      </w:r>
      <w:r w:rsidRPr="009C33DF">
        <w:tab/>
        <w:t>Officer Conduct</w:t>
      </w:r>
    </w:p>
    <w:p w14:paraId="63A2F9B2" w14:textId="675DA94E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Body</w:t>
      </w:r>
      <w:r>
        <w:t>-</w:t>
      </w:r>
      <w:r w:rsidRPr="009C33DF">
        <w:t>Worn Cameras (if issued)</w:t>
      </w:r>
      <w:r w:rsidRPr="009C33DF">
        <w:tab/>
      </w:r>
      <w:r w:rsidRPr="009C33DF">
        <w:tab/>
        <w:t>Officer Involved Shootings</w:t>
      </w:r>
    </w:p>
    <w:p w14:paraId="7E520038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Canine Unit (if applicable)</w:t>
      </w:r>
      <w:r w:rsidRPr="009C33DF">
        <w:tab/>
      </w:r>
      <w:r w:rsidRPr="009C33DF">
        <w:tab/>
      </w:r>
      <w:r w:rsidRPr="009C33DF">
        <w:tab/>
        <w:t>Officer Mental Health &amp; Wellness</w:t>
      </w:r>
    </w:p>
    <w:p w14:paraId="2ADF6D64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Communicable Disease</w:t>
      </w:r>
      <w:r w:rsidRPr="009C33DF">
        <w:tab/>
      </w:r>
      <w:r w:rsidRPr="009C33DF">
        <w:tab/>
      </w:r>
      <w:r w:rsidRPr="009C33DF">
        <w:tab/>
        <w:t>Patrol Rifle (if used)</w:t>
      </w:r>
    </w:p>
    <w:p w14:paraId="58745158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Dealing with Mentally Ill</w:t>
      </w:r>
      <w:r w:rsidRPr="009C33DF">
        <w:tab/>
      </w:r>
      <w:r w:rsidRPr="009C33DF">
        <w:tab/>
      </w:r>
      <w:r w:rsidRPr="009C33DF">
        <w:tab/>
        <w:t>Pepper Spray (if used)</w:t>
      </w:r>
    </w:p>
    <w:p w14:paraId="016189C5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Domestic Violence</w:t>
      </w:r>
      <w:r w:rsidRPr="009C33DF">
        <w:tab/>
      </w:r>
      <w:r w:rsidRPr="009C33DF">
        <w:tab/>
      </w:r>
      <w:r w:rsidRPr="009C33DF">
        <w:tab/>
      </w:r>
      <w:r w:rsidRPr="009C33DF">
        <w:tab/>
        <w:t>Prisoner Transports</w:t>
      </w:r>
    </w:p>
    <w:p w14:paraId="15EEF428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Drones (if used)</w:t>
      </w:r>
      <w:r w:rsidRPr="009C33DF">
        <w:tab/>
      </w:r>
      <w:r w:rsidRPr="009C33DF">
        <w:tab/>
      </w:r>
      <w:r w:rsidRPr="009C33DF">
        <w:tab/>
      </w:r>
      <w:r w:rsidRPr="009C33DF">
        <w:tab/>
        <w:t>Racial Profiling</w:t>
      </w:r>
    </w:p>
    <w:p w14:paraId="0B194EBE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Electronic Control Device - TASER</w:t>
      </w:r>
      <w:r w:rsidRPr="009C33DF">
        <w:tab/>
      </w:r>
      <w:r w:rsidRPr="009C33DF">
        <w:tab/>
        <w:t xml:space="preserve">Reserve Officers </w:t>
      </w:r>
    </w:p>
    <w:p w14:paraId="64EE9471" w14:textId="31EECDA6" w:rsidR="009C33DF" w:rsidRPr="009C33DF" w:rsidRDefault="009C33DF" w:rsidP="009C33DF">
      <w:pPr>
        <w:pStyle w:val="NoSpacing"/>
        <w:spacing w:line="276" w:lineRule="auto"/>
        <w:ind w:left="720" w:firstLine="720"/>
      </w:pPr>
      <w:r w:rsidRPr="009C33DF">
        <w:t>(if used)</w:t>
      </w:r>
      <w:r w:rsidRPr="009C33DF">
        <w:tab/>
      </w:r>
      <w:r w:rsidRPr="009C33DF">
        <w:tab/>
      </w:r>
      <w:r w:rsidRPr="009C33DF">
        <w:tab/>
      </w:r>
      <w:r w:rsidRPr="009C33DF">
        <w:tab/>
        <w:t xml:space="preserve">School Resource Officers (SROs)  </w:t>
      </w:r>
    </w:p>
    <w:p w14:paraId="2FC1AB33" w14:textId="27A3DF05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Emergency/</w:t>
      </w:r>
      <w:proofErr w:type="gramStart"/>
      <w:r w:rsidRPr="009C33DF">
        <w:t>Non-Emergency</w:t>
      </w:r>
      <w:proofErr w:type="gramEnd"/>
      <w:r w:rsidRPr="009C33DF">
        <w:tab/>
      </w:r>
      <w:r w:rsidRPr="009C33DF">
        <w:tab/>
      </w:r>
      <w:r w:rsidRPr="009C33DF">
        <w:tab/>
      </w:r>
      <w:r>
        <w:tab/>
      </w:r>
      <w:r w:rsidRPr="009C33DF">
        <w:t>(if applicable)</w:t>
      </w:r>
    </w:p>
    <w:p w14:paraId="33D19427" w14:textId="3C5FD211" w:rsidR="009C33DF" w:rsidRPr="009C33DF" w:rsidRDefault="009C33DF" w:rsidP="009C33DF">
      <w:pPr>
        <w:pStyle w:val="NoSpacing"/>
        <w:spacing w:line="276" w:lineRule="auto"/>
        <w:ind w:left="720" w:firstLine="720"/>
      </w:pPr>
      <w:r w:rsidRPr="009C33DF">
        <w:t xml:space="preserve">Vehicle Response </w:t>
      </w:r>
      <w:r w:rsidRPr="009C33DF">
        <w:tab/>
      </w:r>
      <w:r w:rsidRPr="009C33DF">
        <w:tab/>
      </w:r>
      <w:r w:rsidRPr="009C33DF">
        <w:tab/>
        <w:t>Shotguns (if used)</w:t>
      </w:r>
    </w:p>
    <w:p w14:paraId="0A2D60BB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Firearms Qualification &amp; Training</w:t>
      </w:r>
      <w:r w:rsidRPr="009C33DF">
        <w:tab/>
      </w:r>
      <w:r w:rsidRPr="009C33DF">
        <w:tab/>
        <w:t>Social Media</w:t>
      </w:r>
    </w:p>
    <w:p w14:paraId="09E4A121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Firearms Range Operations</w:t>
      </w:r>
      <w:r w:rsidRPr="009C33DF">
        <w:tab/>
      </w:r>
      <w:r w:rsidRPr="009C33DF">
        <w:tab/>
      </w:r>
      <w:r w:rsidRPr="009C33DF">
        <w:tab/>
        <w:t>Spike Strip / Stop Sticks (if used)</w:t>
      </w:r>
    </w:p>
    <w:p w14:paraId="2306357F" w14:textId="7C0319F0" w:rsidR="009C33DF" w:rsidRPr="009C33DF" w:rsidRDefault="009C33DF" w:rsidP="009C33DF">
      <w:pPr>
        <w:pStyle w:val="NoSpacing"/>
        <w:spacing w:line="276" w:lineRule="auto"/>
        <w:ind w:left="720" w:firstLine="720"/>
      </w:pPr>
      <w:r w:rsidRPr="009C33DF">
        <w:t>(if operate own range)</w:t>
      </w:r>
      <w:r w:rsidRPr="009C33DF">
        <w:tab/>
      </w:r>
      <w:r w:rsidRPr="009C33DF">
        <w:tab/>
      </w:r>
      <w:r w:rsidRPr="009C33DF">
        <w:tab/>
        <w:t>Take Home Vehicles (if used)</w:t>
      </w:r>
    </w:p>
    <w:p w14:paraId="403F200E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 xml:space="preserve">Hiring Practices </w:t>
      </w:r>
      <w:r w:rsidRPr="009C33DF">
        <w:tab/>
      </w:r>
      <w:r w:rsidRPr="009C33DF">
        <w:tab/>
      </w:r>
      <w:r w:rsidRPr="009C33DF">
        <w:tab/>
      </w:r>
      <w:r w:rsidRPr="009C33DF">
        <w:tab/>
        <w:t>Use of Body Armor</w:t>
      </w:r>
    </w:p>
    <w:p w14:paraId="50BD8789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Holding Cells (if operate)</w:t>
      </w:r>
      <w:r w:rsidRPr="009C33DF">
        <w:tab/>
      </w:r>
      <w:r w:rsidRPr="009C33DF">
        <w:tab/>
      </w:r>
      <w:r w:rsidRPr="009C33DF">
        <w:tab/>
        <w:t>Use of Force</w:t>
      </w:r>
    </w:p>
    <w:p w14:paraId="1205736E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Impact Weapons (if used)</w:t>
      </w:r>
      <w:r w:rsidRPr="009C33DF">
        <w:tab/>
      </w:r>
      <w:r w:rsidRPr="009C33DF">
        <w:tab/>
      </w:r>
      <w:r w:rsidRPr="009C33DF">
        <w:tab/>
        <w:t>Use of Reflective Vest</w:t>
      </w:r>
    </w:p>
    <w:p w14:paraId="762A0292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In-Car Dash Cameras (if used)</w:t>
      </w:r>
      <w:r w:rsidRPr="009C33DF">
        <w:tab/>
      </w:r>
      <w:r w:rsidRPr="009C33DF">
        <w:tab/>
      </w:r>
      <w:r w:rsidRPr="009C33DF">
        <w:tab/>
        <w:t>Vehicle Pursuits</w:t>
      </w:r>
    </w:p>
    <w:p w14:paraId="44B1A369" w14:textId="77777777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>Jail Procedures (if operate)</w:t>
      </w:r>
      <w:r w:rsidRPr="009C33DF">
        <w:tab/>
      </w:r>
      <w:r w:rsidRPr="009C33DF">
        <w:tab/>
      </w:r>
      <w:r w:rsidRPr="009C33DF">
        <w:tab/>
        <w:t>Workplace Harassment; sexual,</w:t>
      </w:r>
    </w:p>
    <w:p w14:paraId="6DD6BD19" w14:textId="2FAD64A9" w:rsidR="009C33DF" w:rsidRPr="009C33DF" w:rsidRDefault="009C33DF" w:rsidP="009C33DF">
      <w:pPr>
        <w:pStyle w:val="NoSpacing"/>
        <w:spacing w:line="276" w:lineRule="auto"/>
        <w:ind w:left="720"/>
      </w:pPr>
      <w:r w:rsidRPr="009C33DF">
        <w:t xml:space="preserve">      </w:t>
      </w:r>
      <w:r w:rsidRPr="009C33DF">
        <w:tab/>
      </w:r>
      <w:r w:rsidRPr="009C33DF">
        <w:tab/>
      </w:r>
      <w:r w:rsidRPr="009C33DF">
        <w:tab/>
      </w:r>
      <w:r w:rsidRPr="009C33DF">
        <w:tab/>
      </w:r>
      <w:r w:rsidRPr="009C33DF">
        <w:tab/>
      </w:r>
      <w:r w:rsidRPr="009C33DF">
        <w:tab/>
      </w:r>
      <w:r>
        <w:tab/>
      </w:r>
      <w:r w:rsidRPr="009C33DF">
        <w:t>racial, etc. (may be city policy)</w:t>
      </w:r>
    </w:p>
    <w:p w14:paraId="106EDA60" w14:textId="77777777" w:rsidR="009C33DF" w:rsidRDefault="009C33DF" w:rsidP="009C33DF">
      <w:pPr>
        <w:spacing w:line="276" w:lineRule="auto"/>
      </w:pPr>
    </w:p>
    <w:p w14:paraId="47B47DEC" w14:textId="7C59209E" w:rsidR="00427410" w:rsidRDefault="009C33DF" w:rsidP="009C33DF">
      <w:pPr>
        <w:spacing w:line="276" w:lineRule="auto"/>
        <w:jc w:val="both"/>
      </w:pPr>
      <w:r w:rsidRPr="009C33DF">
        <w:t xml:space="preserve">To assist you in your department's policy development the AMIC/MWCF Loss Control Division has numerous sample policies listed on our website. You can access these sample police policies at: </w:t>
      </w:r>
      <w:hyperlink r:id="rId6" w:history="1">
        <w:r w:rsidRPr="009C33DF">
          <w:rPr>
            <w:rStyle w:val="Hyperlink"/>
          </w:rPr>
          <w:t>www.losscontrol.org</w:t>
        </w:r>
      </w:hyperlink>
      <w:r w:rsidRPr="009C33DF">
        <w:t xml:space="preserve">, click on Reference Documents, enter </w:t>
      </w:r>
      <w:r w:rsidRPr="009C33DF">
        <w:rPr>
          <w:b/>
          <w:bCs/>
        </w:rPr>
        <w:t>PSOP</w:t>
      </w:r>
      <w:r w:rsidRPr="009C33DF">
        <w:t xml:space="preserve"> in the search field, and select a specific policy to review. Each sample policy can be downloaded as a Word document for easy adaptation. It is recommended that you revisit this site periodically as policies are continuously updated or added. In addition, the AMIC/MWCF Loss Control Division may have additional sample SOPs and other reference documents available for your consideration upon request.</w:t>
      </w:r>
    </w:p>
    <w:sectPr w:rsidR="00427410" w:rsidSect="009C33D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120E" w14:textId="77777777" w:rsidR="009C33DF" w:rsidRDefault="009C33DF" w:rsidP="009C33DF">
      <w:pPr>
        <w:spacing w:after="0" w:line="240" w:lineRule="auto"/>
      </w:pPr>
      <w:r>
        <w:separator/>
      </w:r>
    </w:p>
  </w:endnote>
  <w:endnote w:type="continuationSeparator" w:id="0">
    <w:p w14:paraId="6468C67F" w14:textId="77777777" w:rsidR="009C33DF" w:rsidRDefault="009C33DF" w:rsidP="009C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E76E" w14:textId="4AD964FC" w:rsidR="009C33DF" w:rsidRPr="009C33DF" w:rsidRDefault="009C33DF">
    <w:pPr>
      <w:pStyle w:val="Footer"/>
      <w:rPr>
        <w:rFonts w:cs="Times New Roman"/>
      </w:rPr>
    </w:pPr>
    <w:r>
      <w:tab/>
    </w:r>
    <w:r>
      <w:tab/>
    </w:r>
    <w:r w:rsidRPr="009C33DF">
      <w:rPr>
        <w:rFonts w:cs="Times New Roman"/>
        <w:sz w:val="20"/>
        <w:szCs w:val="20"/>
      </w:rPr>
      <w:t>REVISED 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9CA2" w14:textId="77777777" w:rsidR="009C33DF" w:rsidRDefault="009C33DF" w:rsidP="009C33DF">
      <w:pPr>
        <w:spacing w:after="0" w:line="240" w:lineRule="auto"/>
      </w:pPr>
      <w:r>
        <w:separator/>
      </w:r>
    </w:p>
  </w:footnote>
  <w:footnote w:type="continuationSeparator" w:id="0">
    <w:p w14:paraId="718D899E" w14:textId="77777777" w:rsidR="009C33DF" w:rsidRDefault="009C33DF" w:rsidP="009C3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F"/>
    <w:rsid w:val="00427410"/>
    <w:rsid w:val="004E1A6F"/>
    <w:rsid w:val="009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C6BC"/>
  <w15:chartTrackingRefBased/>
  <w15:docId w15:val="{FA4C7DC7-E87E-434A-9E8F-9ABB633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3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33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3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DF"/>
  </w:style>
  <w:style w:type="paragraph" w:styleId="Footer">
    <w:name w:val="footer"/>
    <w:basedOn w:val="Normal"/>
    <w:link w:val="FooterChar"/>
    <w:uiPriority w:val="99"/>
    <w:unhideWhenUsed/>
    <w:rsid w:val="009C3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3DF"/>
  </w:style>
  <w:style w:type="character" w:styleId="Hyperlink">
    <w:name w:val="Hyperlink"/>
    <w:basedOn w:val="DefaultParagraphFont"/>
    <w:uiPriority w:val="99"/>
    <w:unhideWhenUsed/>
    <w:rsid w:val="009C33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sscontro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Zook</dc:creator>
  <cp:keywords/>
  <dc:description/>
  <cp:lastModifiedBy>Louis Zook</cp:lastModifiedBy>
  <cp:revision>1</cp:revision>
  <dcterms:created xsi:type="dcterms:W3CDTF">2024-08-28T00:08:00Z</dcterms:created>
  <dcterms:modified xsi:type="dcterms:W3CDTF">2024-08-28T00:19:00Z</dcterms:modified>
</cp:coreProperties>
</file>